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EF" w:rsidRPr="0046793D" w:rsidRDefault="007F7853" w:rsidP="004679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466362" w:rsidRPr="0046793D">
        <w:rPr>
          <w:rFonts w:ascii="Times New Roman" w:hAnsi="Times New Roman" w:cs="Times New Roman"/>
          <w:b/>
          <w:sz w:val="24"/>
          <w:szCs w:val="24"/>
        </w:rPr>
        <w:t>тоги социально-экономического развития Межевского муниципального района Костромской области за 2017</w:t>
      </w:r>
      <w:r w:rsidR="0046793D" w:rsidRPr="004679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 ожидаемая оценка</w:t>
      </w:r>
      <w:r w:rsidR="0046793D" w:rsidRPr="0046793D">
        <w:rPr>
          <w:rFonts w:ascii="Times New Roman" w:hAnsi="Times New Roman" w:cs="Times New Roman"/>
          <w:b/>
          <w:sz w:val="24"/>
          <w:szCs w:val="24"/>
        </w:rPr>
        <w:t xml:space="preserve"> 2018</w:t>
      </w:r>
      <w:r w:rsidR="00466362" w:rsidRPr="0046793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66362" w:rsidRPr="00466362" w:rsidRDefault="00466362" w:rsidP="0046793D">
      <w:pPr>
        <w:pStyle w:val="Default"/>
        <w:ind w:firstLine="708"/>
        <w:jc w:val="both"/>
      </w:pPr>
      <w:r w:rsidRPr="00466362">
        <w:t xml:space="preserve">За 2017 год  объем реализации товарной продукции лесопромышленного комплекса в стоимостном выражении составил 154,8 млн. рублей (122 % к уровню 2016г.). В натуральном выражении в прошедшем году предприятия лесопромышленного комплекса и индивидуальные предприниматели (арендаторы лесных участков)   заготовили древесину в объеме 271,5 тыс. м3 (100,5 % к уровню 2016 года), освоено 43,2% расчетной лесосеки,  (от </w:t>
      </w:r>
      <w:proofErr w:type="gramStart"/>
      <w:r w:rsidRPr="00466362">
        <w:t>переданных</w:t>
      </w:r>
      <w:proofErr w:type="gramEnd"/>
      <w:r w:rsidRPr="00466362">
        <w:t xml:space="preserve"> а аренду лесов – 60,5%).</w:t>
      </w:r>
    </w:p>
    <w:p w:rsidR="00466362" w:rsidRPr="00466362" w:rsidRDefault="00466362" w:rsidP="0046793D">
      <w:pPr>
        <w:pStyle w:val="Default"/>
        <w:ind w:firstLine="708"/>
        <w:jc w:val="both"/>
      </w:pPr>
      <w:r w:rsidRPr="00466362">
        <w:t>Основную долю в   лесной  отрасли  в 2017 году занимало предприятие ООО «</w:t>
      </w:r>
      <w:proofErr w:type="spellStart"/>
      <w:r w:rsidRPr="00466362">
        <w:t>Кронолеспром</w:t>
      </w:r>
      <w:proofErr w:type="spellEnd"/>
      <w:r w:rsidRPr="00466362">
        <w:t>» Межевской филиал «</w:t>
      </w:r>
      <w:proofErr w:type="spellStart"/>
      <w:r w:rsidRPr="00466362">
        <w:t>Межалес</w:t>
      </w:r>
      <w:proofErr w:type="spellEnd"/>
      <w:r w:rsidRPr="00466362">
        <w:t>», доля реализации которого составляет  51,8% от объема  отгруженной продукции по лесозаготовкам среди предприятий.</w:t>
      </w:r>
    </w:p>
    <w:p w:rsidR="00466362" w:rsidRPr="00466362" w:rsidRDefault="00466362" w:rsidP="0046793D">
      <w:pPr>
        <w:pStyle w:val="Default"/>
        <w:ind w:firstLine="708"/>
        <w:jc w:val="both"/>
      </w:pPr>
      <w:r w:rsidRPr="00466362">
        <w:t xml:space="preserve">На территории района в 2017 году работали 30 арендаторов лесных участков,  с объемом арендованных лесов -  448,3 тыс. м. куб. 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Количество субъектов малого предпринимательства в Межевском муниципальном районе  составляет  – 140  единиц, из них индивидуальных предпринимателей 108 человек, с общей численностью наемных работников 472 человека. Основная доля предпринимателей 90% занята в  лесном и сельском хозяйстве, розничной торговле, перерабатывающем  производстве и предоставлением транспортных услуг.</w:t>
      </w:r>
    </w:p>
    <w:p w:rsidR="00466362" w:rsidRPr="00466362" w:rsidRDefault="00466362" w:rsidP="004679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От субъектов малого предпринимательства в бюджет района в 2017 году поступило 9 млн. 755 тыс. рублей, основную долю  составляют налоги по упрощенной системе налогообложения и налога на совокупный доход -  43,4 % (4 млн. 230,4тыс. руб.)</w:t>
      </w:r>
    </w:p>
    <w:p w:rsidR="0046793D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Промышленное производство</w:t>
      </w:r>
    </w:p>
    <w:p w:rsidR="0046793D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В 2019  году  ожидается рост объемов отгрузки  продукции по лесозаготовкам предприятием  ООО «</w:t>
      </w:r>
      <w:proofErr w:type="spellStart"/>
      <w:r w:rsidRPr="00466362">
        <w:rPr>
          <w:rFonts w:ascii="Times New Roman" w:hAnsi="Times New Roman" w:cs="Times New Roman"/>
          <w:sz w:val="24"/>
          <w:szCs w:val="24"/>
        </w:rPr>
        <w:t>Кронолеспром</w:t>
      </w:r>
      <w:proofErr w:type="spellEnd"/>
      <w:r w:rsidRPr="00466362">
        <w:rPr>
          <w:rFonts w:ascii="Times New Roman" w:hAnsi="Times New Roman" w:cs="Times New Roman"/>
          <w:sz w:val="24"/>
          <w:szCs w:val="24"/>
        </w:rPr>
        <w:t>» Межевского филиала «</w:t>
      </w:r>
      <w:proofErr w:type="spellStart"/>
      <w:r w:rsidRPr="00466362">
        <w:rPr>
          <w:rFonts w:ascii="Times New Roman" w:hAnsi="Times New Roman" w:cs="Times New Roman"/>
          <w:sz w:val="24"/>
          <w:szCs w:val="24"/>
        </w:rPr>
        <w:t>Межалес</w:t>
      </w:r>
      <w:proofErr w:type="spellEnd"/>
      <w:r w:rsidRPr="00466362">
        <w:rPr>
          <w:rFonts w:ascii="Times New Roman" w:hAnsi="Times New Roman" w:cs="Times New Roman"/>
          <w:sz w:val="24"/>
          <w:szCs w:val="24"/>
        </w:rPr>
        <w:t>» и индивидуальными предпринимателями. По оценке за 2018 год  рост объемов отгрузки в ценах соответствующих лет по лесозаготовкам составит 25% к уровню 2017 года.   В дальнейшем планируется увеличивать   достигнутый уровень  и обеспечить рост в течение ближайших 6 лет  от  1 до 2 % в год, по целевому прогнозу увеличить объем отгрузки по лесозаготовкам в среднем  на 5% в год</w:t>
      </w:r>
      <w:r w:rsidRPr="004663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6362">
        <w:rPr>
          <w:rFonts w:ascii="Times New Roman" w:hAnsi="Times New Roman" w:cs="Times New Roman"/>
          <w:sz w:val="24"/>
          <w:szCs w:val="24"/>
        </w:rPr>
        <w:t xml:space="preserve"> к уровню 2017 года, за счет более полного освоения расчетной лесосеки.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За счет увеличения объемов производства, по  переработке древесины,  объем отгрузки по обрабатывающим производствам  планируется увеличить в прогнозный период 2019-2024 годов  на 7%. 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      </w:t>
      </w:r>
      <w:r w:rsidR="0046793D">
        <w:rPr>
          <w:rFonts w:ascii="Times New Roman" w:hAnsi="Times New Roman" w:cs="Times New Roman"/>
          <w:sz w:val="24"/>
          <w:szCs w:val="24"/>
        </w:rPr>
        <w:t>П</w:t>
      </w:r>
      <w:r w:rsidRPr="00466362">
        <w:rPr>
          <w:rFonts w:ascii="Times New Roman" w:hAnsi="Times New Roman" w:cs="Times New Roman"/>
          <w:sz w:val="24"/>
          <w:szCs w:val="24"/>
        </w:rPr>
        <w:t>роизводство тепловой энергии планируется сохранить на уровне 2018 года до 2023 года. Подключение новых объектов к центральному отоплению  в прогнозном периоде  планируется в 2023 году после ввода в строй многоквартирного дома по переселению  граждан из аварийного жилого фонда. Основная доля потребителей тепловой энергии составляют бюджетные организации (71,7%), население получает чуть более четверти  тепловой энергии  и лишь 2,5 % - прочие потребители.</w:t>
      </w:r>
    </w:p>
    <w:p w:rsidR="00466362" w:rsidRPr="00466362" w:rsidRDefault="0046793D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66362" w:rsidRPr="00466362">
        <w:rPr>
          <w:rFonts w:ascii="Times New Roman" w:hAnsi="Times New Roman" w:cs="Times New Roman"/>
          <w:sz w:val="24"/>
          <w:szCs w:val="24"/>
        </w:rPr>
        <w:t xml:space="preserve">одоснабжение: планируется рост объемов потребления  населением района </w:t>
      </w:r>
      <w:proofErr w:type="gramStart"/>
      <w:r w:rsidR="00466362" w:rsidRPr="0046636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66362" w:rsidRPr="00466362">
        <w:rPr>
          <w:rFonts w:ascii="Times New Roman" w:hAnsi="Times New Roman" w:cs="Times New Roman"/>
          <w:sz w:val="24"/>
          <w:szCs w:val="24"/>
        </w:rPr>
        <w:t xml:space="preserve">  с 87 % до 90% </w:t>
      </w:r>
      <w:proofErr w:type="gramStart"/>
      <w:r w:rsidR="00466362" w:rsidRPr="0046636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466362" w:rsidRPr="00466362">
        <w:rPr>
          <w:rFonts w:ascii="Times New Roman" w:hAnsi="Times New Roman" w:cs="Times New Roman"/>
          <w:sz w:val="24"/>
          <w:szCs w:val="24"/>
        </w:rPr>
        <w:t xml:space="preserve"> период  с 2017 по 2024 год,  после строительства водопроводных сетей в селе Георгиевское  в 2019 и 2021 годах и за счет увеличения степени благоустройства жилого фонда. Потребление бюджетными организациями  составляет 9,5% , прочие потребители 0,5%.</w:t>
      </w:r>
    </w:p>
    <w:p w:rsidR="00466362" w:rsidRPr="00466362" w:rsidRDefault="00466362" w:rsidP="00F52A4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Сельскохозяйственное производство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Значительное  сокращение объемов производства сельскохозяйственной продукции в сельхозпредприятиях в 2017 году связано с неблагоприятными погодными условиями на территории района.   В 2018 году ожидается  небольшое снижение производства в связи с сокращением производства молока.    Рост реализации скота планируется за счет увеличения поголовья  скота в фермерских хозяйствах. В 2017 году  одно  фермерское хозяйство получило грант на развитие, которое занимается выращиванием крупного рогатого скота.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Инвестиции</w:t>
      </w:r>
    </w:p>
    <w:p w:rsidR="00466362" w:rsidRPr="00466362" w:rsidRDefault="00466362" w:rsidP="0046793D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По оценке  в 2018 году будет вложено инвестиций в объеме 61,3 млн. рублей, инвестиции  будут вложены в  ремонт дорог села Георгиевское – 3 млн. 110 тыс. рублей, проведение реконструкции дороги к н.п. Поденьевица,  приобретение  оборудования для переработки древесины индивидуальными предпринимателями.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В прогнозном периоде планируется  строительство новых водопроводных сетей в 2019 и 2021 годах. Общей протяженностью около </w:t>
      </w:r>
      <w:smartTag w:uri="urn:schemas-microsoft-com:office:smarttags" w:element="metricconverter">
        <w:smartTagPr>
          <w:attr w:name="ProductID" w:val="3,5 км"/>
        </w:smartTagPr>
        <w:r w:rsidRPr="00466362">
          <w:rPr>
            <w:rFonts w:ascii="Times New Roman" w:hAnsi="Times New Roman" w:cs="Times New Roman"/>
            <w:sz w:val="24"/>
            <w:szCs w:val="24"/>
          </w:rPr>
          <w:t>3,5 км</w:t>
        </w:r>
      </w:smartTag>
      <w:proofErr w:type="gramStart"/>
      <w:r w:rsidRPr="0046636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663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63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66362">
        <w:rPr>
          <w:rFonts w:ascii="Times New Roman" w:hAnsi="Times New Roman" w:cs="Times New Roman"/>
          <w:sz w:val="24"/>
          <w:szCs w:val="24"/>
        </w:rPr>
        <w:t xml:space="preserve"> селе Георгиевском. В 2018-2019 годах будет проведен капитальный ремонт   моста через реку Межа общей стоимостью более 94 млн. рублей.   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В  2019 -2024 годах планируется  продолжить вкладывать инвестиции в дорожную деятельность, проводить  реконструкцию и строительство объектов жилищно-коммунального хозяйства. Участие в конкурсах  фермерских хозяйств  на получение грантов на их развитие.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Розничная торговля и общественное питание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Увеличение оборота розничной торговли планируется за счет расширения ассортимента товаров, роста товарооборота продовольственными товарами сетевыми магазинами, расширением ассортимента товаров, торговлей мебелью, изделиями из драгоценных металлов, стройматериалами.  Объем товарооборота в 2019-2024 годах  планируется увеличивать  в пределах 4-5%  в год в ценах соответствующих лет. В ценах 2017 года увеличение товарооборота планируется незначительно, в связи с сокращением численности населения района.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По оценке в 2018 году оборот общественного питания останется на уровне 2017 года без увеличения количества точек общественного питания.  В течение ближайших  6 лет планируется рост оборота общественного питания в пределах 1-2 % в год  за счет увеличения посещаемости точек общественного питания населением и гостями района. В перспективе увеличение  количества точек общественного питания  также не планируется.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Платные услуги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Рост платных услуг в прогнозном периоде планируется за счет увеличения объема по предоставлению транспортных услуг (услуги легкового такси), жилищных услуг, услуг образования, коммунальных услуг, услуг учреждений культуры, социальных услуг, предоставляемых гражданам пожилого возраста и инвалидам. В целом  рост платных  услуг населению в год в сопоставимых ценах   в прогнозном периоде  ожидается  от 1 до 2% 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Снижение объема платных услуг в 2017 и в 2018годах произошло по причине сокращения численности индивидуальных предпринимателей, предоставляющих бытовые услуги и уменьшения численности населения района.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Рост коммунальных услуг ожидается за счет проведения реконструкции  и строительства новых водопроводных сетей. В результате увеличится количество потребителей и соответственно объем услуг.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Увеличение услуг образования связано с ростом количества детей, посещающих детские сады. Объем услуг учреждений культуры произойдет за счет расширения видов платных услуг. Объем социальных услуг, предоставляемых гражданам пожилого возраста и инвалидам, ожидается  за счет увеличения численности обслуживаемых, вследствие старения населения района и расширения перечня платных услуг  для данной категории лиц.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Численность населения и оплата труда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В прогнозном периоде ожидается сокращение численности населения района</w:t>
      </w:r>
      <w:r w:rsidRPr="0046636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66362">
        <w:rPr>
          <w:rFonts w:ascii="Times New Roman" w:hAnsi="Times New Roman" w:cs="Times New Roman"/>
          <w:sz w:val="24"/>
          <w:szCs w:val="24"/>
        </w:rPr>
        <w:t xml:space="preserve">в том числе и экономически активного населения. В  2018 году незначительно увеличилась </w:t>
      </w:r>
      <w:r w:rsidRPr="00466362">
        <w:rPr>
          <w:rFonts w:ascii="Times New Roman" w:hAnsi="Times New Roman" w:cs="Times New Roman"/>
          <w:sz w:val="24"/>
          <w:szCs w:val="24"/>
        </w:rPr>
        <w:lastRenderedPageBreak/>
        <w:t>численность наемных работников у предпринимателей. В бюджетных же организациях отмечается тенденция к сокращению рабочих мест. На ближайшую перспективу значительных изменений  в распределении трудовых ресурсов не предвидится. Часть экономически активного населения работает в филиалах предприятий,   организаций  и учреждений, зарегистрированных в других районах области.  В связи с отсутствием  рабочих мест часть трудоспособного  населения работает  по найму за пределами района и области.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66362">
        <w:rPr>
          <w:rFonts w:ascii="Times New Roman" w:hAnsi="Times New Roman" w:cs="Times New Roman"/>
          <w:sz w:val="24"/>
          <w:szCs w:val="24"/>
        </w:rPr>
        <w:t>Среднемесячная</w:t>
      </w:r>
      <w:proofErr w:type="gramEnd"/>
      <w:r w:rsidRPr="00466362">
        <w:rPr>
          <w:rFonts w:ascii="Times New Roman" w:hAnsi="Times New Roman" w:cs="Times New Roman"/>
          <w:sz w:val="24"/>
          <w:szCs w:val="24"/>
        </w:rPr>
        <w:t xml:space="preserve"> заработная  по полному кругу организаций в 2017 году составила 15670 рублей, что на 4,5 % больше, чем в 2016 году. В связи  с  повышением минимального </w:t>
      </w:r>
      <w:proofErr w:type="gramStart"/>
      <w:r w:rsidRPr="00466362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466362">
        <w:rPr>
          <w:rFonts w:ascii="Times New Roman" w:hAnsi="Times New Roman" w:cs="Times New Roman"/>
          <w:sz w:val="24"/>
          <w:szCs w:val="24"/>
        </w:rPr>
        <w:t>, увеличился  размер  среднемесячной  заработной платы  в организациях, относящихся к субъектам малого предпринимательства, в лесной отрасли, розничной торговле,  а также   за счет  увеличения заработной платы работникам учреждений культуры и образования.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   Рост  заработной платы в  2019-2024 годах   в производственной сфере планируется достичь за счет производительности труда и  роста объемов производства  в лесной отрасли от 2 до 4% ежегодно. 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В бюджетных организациях по базовой оценке рост заработной платы  планируется от 1 до 2 %,  по целевому варианту рост заработной платы  ожидается на уровне  предполагаемой инфляции.</w:t>
      </w:r>
    </w:p>
    <w:p w:rsid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Pr="00466362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66362" w:rsidRPr="00466362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362"/>
    <w:rsid w:val="00056694"/>
    <w:rsid w:val="00092596"/>
    <w:rsid w:val="00466362"/>
    <w:rsid w:val="0046793D"/>
    <w:rsid w:val="007F7853"/>
    <w:rsid w:val="008E264B"/>
    <w:rsid w:val="009354EF"/>
    <w:rsid w:val="00AF125C"/>
    <w:rsid w:val="00EC16DA"/>
    <w:rsid w:val="00F52A47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6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4</cp:revision>
  <cp:lastPrinted>2018-11-28T12:17:00Z</cp:lastPrinted>
  <dcterms:created xsi:type="dcterms:W3CDTF">2018-11-13T13:23:00Z</dcterms:created>
  <dcterms:modified xsi:type="dcterms:W3CDTF">2018-11-28T12:18:00Z</dcterms:modified>
</cp:coreProperties>
</file>